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66" w:rsidRDefault="00403666">
      <w:pPr>
        <w:keepNext/>
        <w:jc w:val="center"/>
        <w:rPr>
          <w:b/>
          <w:sz w:val="22"/>
          <w:szCs w:val="22"/>
        </w:rPr>
      </w:pP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:rsidR="00403666" w:rsidRDefault="00124939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Ημερομηνία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ab/>
        <w:t>21 Ιουνίου 2024</w:t>
      </w: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Εκπαιδευτικό ταξίδι στο Βερολίνο, Γερμανία (BERΜUN)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03666" w:rsidRDefault="00403666">
      <w:pPr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Διεθνές Συνέδριο MUN στο Βερολίνο</w:t>
      </w:r>
    </w:p>
    <w:p w:rsidR="00403666" w:rsidRDefault="00124939">
      <w:pPr>
        <w:ind w:left="2880" w:hanging="28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 </w:t>
      </w:r>
      <w:r>
        <w:rPr>
          <w:rFonts w:ascii="Calibri" w:eastAsia="Calibri" w:hAnsi="Calibri" w:cs="Calibri"/>
          <w:sz w:val="22"/>
          <w:szCs w:val="22"/>
        </w:rPr>
        <w:tab/>
        <w:t>Τρίτη 19 Νοεμβρίου – Κυριακή 24 Νοεμβρίου 2024</w:t>
      </w:r>
    </w:p>
    <w:p w:rsidR="00403666" w:rsidRDefault="00403666">
      <w:pPr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8 σε δίκλινα ή/και τρίκλινα δωμάτια</w:t>
      </w: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Αριθμός καθηγητών: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2 (σε μονόκλινα δωμάτια) </w:t>
      </w:r>
    </w:p>
    <w:p w:rsidR="00403666" w:rsidRDefault="00403666">
      <w:pPr>
        <w:ind w:left="2880" w:hanging="2880"/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Τρόπος μεταφοράς:</w:t>
      </w:r>
      <w:r>
        <w:rPr>
          <w:rFonts w:ascii="Calibri" w:eastAsia="Calibri" w:hAnsi="Calibri" w:cs="Calibri"/>
          <w:sz w:val="22"/>
          <w:szCs w:val="22"/>
        </w:rPr>
        <w:tab/>
        <w:t>Αεροπλάνο/αεροδρόμιο Βερολίνου</w:t>
      </w:r>
    </w:p>
    <w:p w:rsidR="00403666" w:rsidRDefault="00124939">
      <w:pPr>
        <w:ind w:left="576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Mini </w:t>
      </w:r>
      <w:proofErr w:type="spellStart"/>
      <w:r>
        <w:rPr>
          <w:rFonts w:ascii="Calibri" w:eastAsia="Calibri" w:hAnsi="Calibri" w:cs="Calibri"/>
          <w:sz w:val="22"/>
          <w:szCs w:val="22"/>
        </w:rPr>
        <w:t>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από το αεροδρόμιο στο ξενοδοχείο του Βερολίνου και αντίστροφα</w:t>
      </w:r>
    </w:p>
    <w:p w:rsidR="00403666" w:rsidRDefault="00124939">
      <w:pPr>
        <w:ind w:left="2880" w:hanging="288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403666" w:rsidRDefault="00124939" w:rsidP="00574B01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</w:t>
      </w:r>
      <w:r w:rsidR="00574B01">
        <w:rPr>
          <w:rFonts w:ascii="Calibri" w:eastAsia="Calibri" w:hAnsi="Calibri" w:cs="Calibri"/>
          <w:sz w:val="22"/>
          <w:szCs w:val="22"/>
        </w:rPr>
        <w:t>τίμηση ξενοδοχείου:</w:t>
      </w:r>
      <w:r w:rsidR="00574B0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«</w:t>
      </w:r>
      <w:proofErr w:type="spellStart"/>
      <w:r>
        <w:rPr>
          <w:rFonts w:ascii="Calibri" w:eastAsia="Calibri" w:hAnsi="Calibri" w:cs="Calibri"/>
          <w:sz w:val="22"/>
          <w:szCs w:val="22"/>
        </w:rPr>
        <w:t>Hotel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Sachsenhof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3*», </w:t>
      </w:r>
      <w:proofErr w:type="spellStart"/>
      <w:r>
        <w:rPr>
          <w:rFonts w:ascii="Calibri" w:eastAsia="Calibri" w:hAnsi="Calibri" w:cs="Calibri"/>
          <w:sz w:val="22"/>
          <w:szCs w:val="22"/>
        </w:rPr>
        <w:t>Motzstrasse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7, 10777. Αν δεν είναι διαθέσιμο αυτό, τότε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να επιλεγεί ξενοδοχείο που να βρίσκεται δυτικά της Πύλης του </w:t>
      </w:r>
      <w:proofErr w:type="spellStart"/>
      <w:r>
        <w:rPr>
          <w:rFonts w:ascii="Calibri" w:eastAsia="Calibri" w:hAnsi="Calibri" w:cs="Calibri"/>
          <w:sz w:val="22"/>
          <w:szCs w:val="22"/>
        </w:rPr>
        <w:t>Βραδεμβούργου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στην περιοχή του πρώην Δυτικού Βερολίνου, σε περιοχές όπως το </w:t>
      </w:r>
      <w:proofErr w:type="spellStart"/>
      <w:r>
        <w:rPr>
          <w:rFonts w:ascii="Calibri" w:eastAsia="Calibri" w:hAnsi="Calibri" w:cs="Calibri"/>
          <w:sz w:val="22"/>
          <w:szCs w:val="22"/>
        </w:rPr>
        <w:t>Tiergarten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Charlottenburg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Schoneberg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Potsdamer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Platz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Savignyplatz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κ.ά., και όχι στην περιοχή του πρώην ανατολικού Βερολίνου. Να είναι κοντά σε σταθμό μετρό και σε περιοχή με εστιατόρια.</w:t>
      </w:r>
    </w:p>
    <w:p w:rsidR="00403666" w:rsidRDefault="00403666">
      <w:pPr>
        <w:ind w:left="3600" w:hanging="2880"/>
        <w:jc w:val="both"/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>Όχι</w:t>
      </w:r>
    </w:p>
    <w:p w:rsidR="00403666" w:rsidRDefault="0040366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Ναι</w:t>
      </w:r>
    </w:p>
    <w:p w:rsidR="00403666" w:rsidRDefault="00403666">
      <w:pPr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:rsidR="00403666" w:rsidRDefault="0012493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 με πρωινό</w:t>
      </w:r>
    </w:p>
    <w:p w:rsidR="00403666" w:rsidRDefault="0012493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 ναύλοι</w:t>
      </w:r>
    </w:p>
    <w:p w:rsidR="00403666" w:rsidRDefault="0012493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(τοπικά)</w:t>
      </w:r>
    </w:p>
    <w:p w:rsidR="00403666" w:rsidRDefault="0012493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:rsidR="00403666" w:rsidRDefault="0012493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:rsidR="00403666" w:rsidRDefault="00403666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403666" w:rsidRDefault="0012493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:rsidR="00403666" w:rsidRDefault="0012493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:rsidR="00403666" w:rsidRDefault="0012493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403666" w:rsidRDefault="00403666">
      <w:pPr>
        <w:rPr>
          <w:rFonts w:ascii="Calibri" w:eastAsia="Calibri" w:hAnsi="Calibri" w:cs="Calibri"/>
          <w:sz w:val="22"/>
          <w:szCs w:val="22"/>
        </w:rPr>
      </w:pPr>
    </w:p>
    <w:p w:rsidR="00403666" w:rsidRDefault="0012493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Όλες οι προσφορές πρέπει να κατατεθούν μέχρι την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Παρασκευή 28 Ιουνίου 2024</w:t>
      </w:r>
      <w:r>
        <w:rPr>
          <w:rFonts w:ascii="Calibri" w:eastAsia="Calibri" w:hAnsi="Calibri" w:cs="Calibri"/>
          <w:b/>
          <w:sz w:val="22"/>
          <w:szCs w:val="22"/>
        </w:rPr>
        <w:t xml:space="preserve"> στις 15.00</w:t>
      </w:r>
      <w:r>
        <w:rPr>
          <w:rFonts w:ascii="Calibri" w:eastAsia="Calibri" w:hAnsi="Calibri" w:cs="Calibri"/>
          <w:sz w:val="22"/>
          <w:szCs w:val="22"/>
        </w:rPr>
        <w:t xml:space="preserve">, στο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σε σφραγισμένο φάκελο, υπόψη κα Αντωνίου.</w:t>
      </w:r>
    </w:p>
    <w:p w:rsidR="00403666" w:rsidRDefault="00403666">
      <w:pPr>
        <w:rPr>
          <w:rFonts w:ascii="Calibri" w:eastAsia="Calibri" w:hAnsi="Calibri" w:cs="Calibri"/>
        </w:rPr>
      </w:pPr>
    </w:p>
    <w:sectPr w:rsidR="00403666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A0" w:rsidRDefault="009B39A0">
      <w:r>
        <w:separator/>
      </w:r>
    </w:p>
  </w:endnote>
  <w:endnote w:type="continuationSeparator" w:id="0">
    <w:p w:rsidR="009B39A0" w:rsidRDefault="009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 Sans Light">
    <w:altName w:val="Times New Roman"/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6" w:rsidRDefault="00124939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666" w:rsidRDefault="0040366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403666" w:rsidRPr="004C2AFE" w:rsidRDefault="00124939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4C2AFE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:rsidR="00403666" w:rsidRPr="004C2AFE" w:rsidRDefault="00124939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4C2AFE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4C2AFE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4C2AFE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4C2AFE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4C2AFE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4C2AFE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4C2AFE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4C2AFE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A0" w:rsidRDefault="009B39A0">
      <w:r>
        <w:separator/>
      </w:r>
    </w:p>
  </w:footnote>
  <w:footnote w:type="continuationSeparator" w:id="0">
    <w:p w:rsidR="009B39A0" w:rsidRDefault="009B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6" w:rsidRPr="004C2AFE" w:rsidRDefault="0012493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4C2AFE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666" w:rsidRPr="004C2AFE" w:rsidRDefault="001249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4C2AFE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4C2AFE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4C2AFE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4C2AFE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4C2AFE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+30 2310 327.500</w:t>
    </w:r>
  </w:p>
  <w:p w:rsidR="00403666" w:rsidRDefault="00124939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403666" w:rsidRDefault="0040366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17B0"/>
    <w:multiLevelType w:val="multilevel"/>
    <w:tmpl w:val="01AC6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6"/>
    <w:rsid w:val="00124939"/>
    <w:rsid w:val="00403666"/>
    <w:rsid w:val="004C2AFE"/>
    <w:rsid w:val="00574B01"/>
    <w:rsid w:val="009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85DED-8A83-4A2F-9B1F-49A765C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raele</cp:lastModifiedBy>
  <cp:revision>4</cp:revision>
  <dcterms:created xsi:type="dcterms:W3CDTF">2024-06-21T06:45:00Z</dcterms:created>
  <dcterms:modified xsi:type="dcterms:W3CDTF">2024-06-21T06:50:00Z</dcterms:modified>
</cp:coreProperties>
</file>